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22CB" w14:textId="600D4C70" w:rsidR="00B214A2" w:rsidRPr="006E5A24" w:rsidRDefault="00E72646" w:rsidP="00E72646">
      <w:pPr>
        <w:jc w:val="center"/>
        <w:rPr>
          <w:b/>
          <w:bCs/>
          <w:u w:val="single"/>
        </w:rPr>
      </w:pPr>
      <w:r w:rsidRPr="006E5A24">
        <w:rPr>
          <w:b/>
          <w:bCs/>
          <w:u w:val="single"/>
        </w:rPr>
        <w:t>Our Approach to Writing</w:t>
      </w:r>
    </w:p>
    <w:p w14:paraId="4B8326F2" w14:textId="190E183D" w:rsidR="00E72646" w:rsidRPr="00A91242" w:rsidRDefault="00E72646" w:rsidP="00A91242">
      <w:pPr>
        <w:jc w:val="center"/>
        <w:rPr>
          <w:b/>
          <w:bCs/>
          <w:u w:val="single"/>
        </w:rPr>
      </w:pPr>
      <w:r w:rsidRPr="00A91242">
        <w:rPr>
          <w:b/>
          <w:bCs/>
          <w:u w:val="single"/>
        </w:rPr>
        <w:t>Intent</w:t>
      </w:r>
    </w:p>
    <w:p w14:paraId="709EC4A3" w14:textId="77777777" w:rsidR="009A554C" w:rsidRPr="009A554C" w:rsidRDefault="009A554C" w:rsidP="009A554C">
      <w:r w:rsidRPr="009A554C">
        <w:t>Our approach to writing is underpinned by research. This research shows that: </w:t>
      </w:r>
    </w:p>
    <w:p w14:paraId="15EA86D2" w14:textId="77777777" w:rsidR="009A554C" w:rsidRPr="009A554C" w:rsidRDefault="009A554C" w:rsidP="009A554C">
      <w:pPr>
        <w:numPr>
          <w:ilvl w:val="0"/>
          <w:numId w:val="1"/>
        </w:numPr>
      </w:pPr>
      <w:r w:rsidRPr="009A554C">
        <w:t>Outcomes at KS2 are most accurately predicted by looking at spelling and letter formation at the end of KS1. </w:t>
      </w:r>
    </w:p>
    <w:p w14:paraId="6142E574" w14:textId="77777777" w:rsidR="009A554C" w:rsidRPr="009A554C" w:rsidRDefault="009A554C" w:rsidP="009A554C">
      <w:pPr>
        <w:numPr>
          <w:ilvl w:val="0"/>
          <w:numId w:val="2"/>
        </w:numPr>
      </w:pPr>
      <w:r w:rsidRPr="009A554C">
        <w:t>Reducing cognitive load in writing lessons is the most useful lever to pull to improve outcomes </w:t>
      </w:r>
    </w:p>
    <w:p w14:paraId="5E6971B3" w14:textId="77777777" w:rsidR="009A554C" w:rsidRPr="009A554C" w:rsidRDefault="009A554C" w:rsidP="009A554C">
      <w:pPr>
        <w:numPr>
          <w:ilvl w:val="0"/>
          <w:numId w:val="3"/>
        </w:numPr>
      </w:pPr>
      <w:r w:rsidRPr="009A554C">
        <w:t>Practising spelling, grammar, punctuation, vocabulary and handwriting to automaticity is the best bet to reduce cognitive load and improve composition skills. </w:t>
      </w:r>
    </w:p>
    <w:p w14:paraId="2D84D4D8" w14:textId="6C3FC5E5" w:rsidR="00E72646" w:rsidRDefault="00E72646" w:rsidP="00E72646">
      <w:r>
        <w:t>O</w:t>
      </w:r>
      <w:r w:rsidR="00A64908">
        <w:t>u</w:t>
      </w:r>
      <w:r>
        <w:t>r writing curriculum aims to provide children with the skills they need to write for a range of purpose and audiences. We focus on highly on sentence level skills to ensure that the children grasp the fundamentals. We use links to the curriculum</w:t>
      </w:r>
      <w:r w:rsidR="00B46419">
        <w:t xml:space="preserve"> and </w:t>
      </w:r>
      <w:r w:rsidR="00EF226B">
        <w:t>/ or engaging books</w:t>
      </w:r>
      <w:r>
        <w:t xml:space="preserve"> to both engage children in the subject of their writing whilst also supporting their background knowledge</w:t>
      </w:r>
      <w:r w:rsidR="00EF226B">
        <w:t>,</w:t>
      </w:r>
      <w:r>
        <w:t xml:space="preserve"> so that they can focus on the skills needed to produce the text purpose. </w:t>
      </w:r>
    </w:p>
    <w:p w14:paraId="74FC36C4" w14:textId="77777777" w:rsidR="00E72646" w:rsidRPr="00A91242" w:rsidRDefault="00E72646" w:rsidP="00A91242">
      <w:pPr>
        <w:jc w:val="center"/>
        <w:rPr>
          <w:b/>
          <w:bCs/>
        </w:rPr>
      </w:pPr>
    </w:p>
    <w:p w14:paraId="1B2ED427" w14:textId="734E5719" w:rsidR="00E72646" w:rsidRPr="00A91242" w:rsidRDefault="00E72646" w:rsidP="00A91242">
      <w:pPr>
        <w:jc w:val="center"/>
        <w:rPr>
          <w:b/>
          <w:bCs/>
          <w:u w:val="single"/>
        </w:rPr>
      </w:pPr>
      <w:r w:rsidRPr="00A91242">
        <w:rPr>
          <w:b/>
          <w:bCs/>
          <w:u w:val="single"/>
        </w:rPr>
        <w:t>Implementation</w:t>
      </w:r>
    </w:p>
    <w:p w14:paraId="4827798A" w14:textId="374E8E52" w:rsidR="00D07482" w:rsidRPr="00D07482" w:rsidRDefault="00E72646" w:rsidP="00D07482">
      <w:pPr>
        <w:rPr>
          <w:color w:val="FF0000"/>
        </w:rPr>
      </w:pPr>
      <w:r w:rsidRPr="00FA5F6C">
        <w:t>In KS1, the children are engaged through stories and books to broaden their knowledge and familiarity with story language and structure. We focus on writing to entertain and inform</w:t>
      </w:r>
      <w:r w:rsidR="00D07482" w:rsidRPr="00FA5F6C">
        <w:t>. Our KS1 English units are</w:t>
      </w:r>
      <w:r w:rsidR="001A61F5" w:rsidRPr="00FA5F6C">
        <w:t xml:space="preserve"> </w:t>
      </w:r>
      <w:r w:rsidR="00D07482" w:rsidRPr="00FA5F6C">
        <w:t xml:space="preserve">planned  to systematically extend and deepen children’s vocabulary so that they can understand the texts they will be able to read for themselves and to use the taught vocabulary in their own writing. This is followed by </w:t>
      </w:r>
      <w:r w:rsidR="006B045C" w:rsidRPr="00FA5F6C">
        <w:t xml:space="preserve">modelled writing, teaching word level and sentence level skills enabling children to produce their own texts. </w:t>
      </w:r>
    </w:p>
    <w:p w14:paraId="1ECA6BBD" w14:textId="565A3073" w:rsidR="00D86471" w:rsidRDefault="001A61F5" w:rsidP="00D86471">
      <w:r>
        <w:t xml:space="preserve">In KS2, we teach writing during three phases per unit. The first focuses on </w:t>
      </w:r>
      <w:r w:rsidR="00D86471">
        <w:t>familiarising</w:t>
      </w:r>
      <w:r>
        <w:t xml:space="preserve"> the children with a </w:t>
      </w:r>
      <w:r w:rsidR="00D86471">
        <w:t xml:space="preserve">high quality </w:t>
      </w:r>
      <w:r>
        <w:t>model text</w:t>
      </w:r>
      <w:r w:rsidR="006F2DA7">
        <w:t>. We examine the features,</w:t>
      </w:r>
      <w:r w:rsidR="00E72646" w:rsidRPr="00E72646">
        <w:t xml:space="preserve"> language and structures of the text</w:t>
      </w:r>
      <w:r w:rsidR="00D86471">
        <w:t xml:space="preserve">. </w:t>
      </w:r>
      <w:r w:rsidR="00310A86">
        <w:t>In the second phase, the children are taught the skills they need to be able to write in the style</w:t>
      </w:r>
      <w:r w:rsidR="005422D9">
        <w:t xml:space="preserve">, </w:t>
      </w:r>
      <w:r w:rsidR="00E72646" w:rsidRPr="00E72646">
        <w:t>before</w:t>
      </w:r>
      <w:r w:rsidR="005422D9">
        <w:t xml:space="preserve"> the final phase where the children apply what they have learnt to write</w:t>
      </w:r>
      <w:r w:rsidR="00E72646" w:rsidRPr="00E72646">
        <w:t xml:space="preserve"> their own text independently. There are daily opportunities for pupils to respond to </w:t>
      </w:r>
      <w:r w:rsidR="000A21D7">
        <w:t xml:space="preserve">whole class </w:t>
      </w:r>
      <w:r w:rsidR="00E72646" w:rsidRPr="00E72646">
        <w:t>feedback</w:t>
      </w:r>
      <w:r w:rsidR="00593523">
        <w:t>. There are planned opportunities for children</w:t>
      </w:r>
      <w:r w:rsidR="00E72646" w:rsidRPr="00E72646">
        <w:t xml:space="preserve"> to edit and improve their writing</w:t>
      </w:r>
      <w:r w:rsidR="000A21D7">
        <w:t xml:space="preserve"> in the final phase</w:t>
      </w:r>
      <w:r w:rsidR="00E72646" w:rsidRPr="00E72646">
        <w:t>.</w:t>
      </w:r>
    </w:p>
    <w:p w14:paraId="6E213B7E" w14:textId="6CB081B6" w:rsidR="00334A5E" w:rsidRDefault="00334A5E" w:rsidP="00D86471">
      <w:r>
        <w:t>The text purposes we teach are progressive</w:t>
      </w:r>
      <w:r w:rsidR="00D03F64">
        <w:t xml:space="preserve">, with a focus on writing to entertain and inform early on and broadening the purposes as the children move through KS2. This </w:t>
      </w:r>
      <w:r w:rsidR="00147055">
        <w:t>is</w:t>
      </w:r>
      <w:r w:rsidR="00D03F64">
        <w:t xml:space="preserve"> to support the development of skills and awareness of purpose.</w:t>
      </w:r>
    </w:p>
    <w:tbl>
      <w:tblPr>
        <w:tblStyle w:val="TableGrid"/>
        <w:tblW w:w="9356" w:type="dxa"/>
        <w:tblInd w:w="-5" w:type="dxa"/>
        <w:tblLook w:val="04A0" w:firstRow="1" w:lastRow="0" w:firstColumn="1" w:lastColumn="0" w:noHBand="0" w:noVBand="1"/>
      </w:tblPr>
      <w:tblGrid>
        <w:gridCol w:w="1254"/>
        <w:gridCol w:w="2025"/>
        <w:gridCol w:w="2026"/>
        <w:gridCol w:w="2025"/>
        <w:gridCol w:w="2026"/>
      </w:tblGrid>
      <w:tr w:rsidR="00334A5E" w:rsidRPr="004B2728" w14:paraId="4A3352A7" w14:textId="77777777" w:rsidTr="007F783B">
        <w:tc>
          <w:tcPr>
            <w:tcW w:w="1254" w:type="dxa"/>
          </w:tcPr>
          <w:p w14:paraId="6F8546B0" w14:textId="77777777" w:rsidR="00334A5E" w:rsidRPr="004B2728" w:rsidRDefault="00334A5E" w:rsidP="007F783B">
            <w:pPr>
              <w:rPr>
                <w:rFonts w:ascii="Arial" w:hAnsi="Arial" w:cs="Arial"/>
              </w:rPr>
            </w:pPr>
          </w:p>
        </w:tc>
        <w:tc>
          <w:tcPr>
            <w:tcW w:w="2025" w:type="dxa"/>
          </w:tcPr>
          <w:p w14:paraId="66F5CCA4" w14:textId="77777777" w:rsidR="00334A5E" w:rsidRPr="004B2728" w:rsidRDefault="00334A5E" w:rsidP="007F783B">
            <w:pPr>
              <w:jc w:val="center"/>
              <w:rPr>
                <w:rFonts w:ascii="Arial" w:hAnsi="Arial" w:cs="Arial"/>
              </w:rPr>
            </w:pPr>
            <w:r w:rsidRPr="004B2728">
              <w:rPr>
                <w:rFonts w:ascii="Arial" w:hAnsi="Arial" w:cs="Arial"/>
                <w:noProof/>
              </w:rPr>
              <w:drawing>
                <wp:inline distT="0" distB="0" distL="0" distR="0" wp14:anchorId="3AE10700" wp14:editId="65D66F07">
                  <wp:extent cx="1111469" cy="1030142"/>
                  <wp:effectExtent l="0" t="0" r="6350" b="0"/>
                  <wp:docPr id="1388564929" name="Picture 1" descr="A brown sign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64929" name="Picture 1" descr="A brown sign with white symbol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61712" cy="1076709"/>
                          </a:xfrm>
                          <a:prstGeom prst="rect">
                            <a:avLst/>
                          </a:prstGeom>
                        </pic:spPr>
                      </pic:pic>
                    </a:graphicData>
                  </a:graphic>
                </wp:inline>
              </w:drawing>
            </w:r>
          </w:p>
        </w:tc>
        <w:tc>
          <w:tcPr>
            <w:tcW w:w="2026" w:type="dxa"/>
          </w:tcPr>
          <w:p w14:paraId="7EB88F68" w14:textId="77777777" w:rsidR="00334A5E" w:rsidRPr="004B2728" w:rsidRDefault="00334A5E" w:rsidP="007F783B">
            <w:pPr>
              <w:jc w:val="center"/>
              <w:rPr>
                <w:rFonts w:ascii="Arial" w:hAnsi="Arial" w:cs="Arial"/>
              </w:rPr>
            </w:pPr>
            <w:r w:rsidRPr="004B2728">
              <w:rPr>
                <w:rFonts w:ascii="Arial" w:hAnsi="Arial" w:cs="Arial"/>
                <w:noProof/>
              </w:rPr>
              <w:drawing>
                <wp:inline distT="0" distB="0" distL="0" distR="0" wp14:anchorId="6E6E4C30" wp14:editId="186DB5D1">
                  <wp:extent cx="1079937" cy="1052939"/>
                  <wp:effectExtent l="0" t="0" r="0" b="1270"/>
                  <wp:docPr id="172014654"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4654" name="Picture 2" descr="A close-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7998" cy="1070549"/>
                          </a:xfrm>
                          <a:prstGeom prst="rect">
                            <a:avLst/>
                          </a:prstGeom>
                        </pic:spPr>
                      </pic:pic>
                    </a:graphicData>
                  </a:graphic>
                </wp:inline>
              </w:drawing>
            </w:r>
          </w:p>
        </w:tc>
        <w:tc>
          <w:tcPr>
            <w:tcW w:w="2025" w:type="dxa"/>
          </w:tcPr>
          <w:p w14:paraId="09629533" w14:textId="77777777" w:rsidR="00334A5E" w:rsidRPr="004B2728" w:rsidRDefault="00334A5E" w:rsidP="007F783B">
            <w:pPr>
              <w:jc w:val="center"/>
              <w:rPr>
                <w:rFonts w:ascii="Arial" w:hAnsi="Arial" w:cs="Arial"/>
              </w:rPr>
            </w:pPr>
            <w:r w:rsidRPr="004B2728">
              <w:rPr>
                <w:rFonts w:ascii="Arial" w:hAnsi="Arial" w:cs="Arial"/>
                <w:noProof/>
              </w:rPr>
              <w:drawing>
                <wp:inline distT="0" distB="0" distL="0" distR="0" wp14:anchorId="43E4C773" wp14:editId="3AC46D48">
                  <wp:extent cx="894906" cy="1052830"/>
                  <wp:effectExtent l="0" t="0" r="0" b="1270"/>
                  <wp:docPr id="762376016" name="Picture 3" descr="A red triangle with black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76016" name="Picture 3" descr="A red triangle with black exclamation mar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03559" cy="1063010"/>
                          </a:xfrm>
                          <a:prstGeom prst="rect">
                            <a:avLst/>
                          </a:prstGeom>
                        </pic:spPr>
                      </pic:pic>
                    </a:graphicData>
                  </a:graphic>
                </wp:inline>
              </w:drawing>
            </w:r>
          </w:p>
        </w:tc>
        <w:tc>
          <w:tcPr>
            <w:tcW w:w="2026" w:type="dxa"/>
          </w:tcPr>
          <w:p w14:paraId="2602884A" w14:textId="77777777" w:rsidR="00334A5E" w:rsidRPr="004B2728" w:rsidRDefault="00334A5E" w:rsidP="007F783B">
            <w:pPr>
              <w:jc w:val="center"/>
              <w:rPr>
                <w:rFonts w:ascii="Arial" w:hAnsi="Arial" w:cs="Arial"/>
              </w:rPr>
            </w:pPr>
            <w:r w:rsidRPr="004B2728">
              <w:rPr>
                <w:rFonts w:ascii="Arial" w:hAnsi="Arial" w:cs="Arial"/>
                <w:noProof/>
              </w:rPr>
              <w:drawing>
                <wp:inline distT="0" distB="0" distL="0" distR="0" wp14:anchorId="1CA12937" wp14:editId="6DB6F673">
                  <wp:extent cx="819807" cy="1031097"/>
                  <wp:effectExtent l="0" t="0" r="5715" b="0"/>
                  <wp:docPr id="947348933" name="Picture 4" descr="A blue sign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48933" name="Picture 4" descr="A blue sign with white arrow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466" cy="1077204"/>
                          </a:xfrm>
                          <a:prstGeom prst="rect">
                            <a:avLst/>
                          </a:prstGeom>
                        </pic:spPr>
                      </pic:pic>
                    </a:graphicData>
                  </a:graphic>
                </wp:inline>
              </w:drawing>
            </w:r>
          </w:p>
        </w:tc>
      </w:tr>
      <w:tr w:rsidR="00334A5E" w:rsidRPr="004B2728" w14:paraId="23BF9FB2" w14:textId="77777777" w:rsidTr="007F783B">
        <w:tc>
          <w:tcPr>
            <w:tcW w:w="1254" w:type="dxa"/>
          </w:tcPr>
          <w:p w14:paraId="2DF6AD5B" w14:textId="77777777" w:rsidR="00334A5E" w:rsidRPr="004B2728" w:rsidRDefault="00334A5E" w:rsidP="007F783B">
            <w:pPr>
              <w:rPr>
                <w:rFonts w:ascii="Arial" w:hAnsi="Arial" w:cs="Arial"/>
              </w:rPr>
            </w:pPr>
            <w:r w:rsidRPr="004B2728">
              <w:rPr>
                <w:rFonts w:ascii="Arial" w:hAnsi="Arial" w:cs="Arial"/>
              </w:rPr>
              <w:t xml:space="preserve">Years 1/2 </w:t>
            </w:r>
          </w:p>
        </w:tc>
        <w:tc>
          <w:tcPr>
            <w:tcW w:w="2025" w:type="dxa"/>
            <w:shd w:val="clear" w:color="auto" w:fill="00B050"/>
          </w:tcPr>
          <w:p w14:paraId="6B6549FB" w14:textId="77777777" w:rsidR="00334A5E" w:rsidRPr="004B2728" w:rsidRDefault="00334A5E" w:rsidP="007F783B">
            <w:pPr>
              <w:rPr>
                <w:rFonts w:ascii="Arial" w:hAnsi="Arial" w:cs="Arial"/>
              </w:rPr>
            </w:pPr>
          </w:p>
        </w:tc>
        <w:tc>
          <w:tcPr>
            <w:tcW w:w="2026" w:type="dxa"/>
            <w:shd w:val="clear" w:color="auto" w:fill="00B050"/>
          </w:tcPr>
          <w:p w14:paraId="27D41ECB" w14:textId="77777777" w:rsidR="00334A5E" w:rsidRPr="004B2728" w:rsidRDefault="00334A5E" w:rsidP="007F783B">
            <w:pPr>
              <w:rPr>
                <w:rFonts w:ascii="Arial" w:hAnsi="Arial" w:cs="Arial"/>
              </w:rPr>
            </w:pPr>
          </w:p>
        </w:tc>
        <w:tc>
          <w:tcPr>
            <w:tcW w:w="2025" w:type="dxa"/>
          </w:tcPr>
          <w:p w14:paraId="0FAE07EC" w14:textId="77777777" w:rsidR="00334A5E" w:rsidRPr="004B2728" w:rsidRDefault="00334A5E" w:rsidP="007F783B">
            <w:pPr>
              <w:rPr>
                <w:rFonts w:ascii="Arial" w:hAnsi="Arial" w:cs="Arial"/>
              </w:rPr>
            </w:pPr>
          </w:p>
        </w:tc>
        <w:tc>
          <w:tcPr>
            <w:tcW w:w="2026" w:type="dxa"/>
          </w:tcPr>
          <w:p w14:paraId="2272A8BA" w14:textId="77777777" w:rsidR="00334A5E" w:rsidRPr="004B2728" w:rsidRDefault="00334A5E" w:rsidP="007F783B">
            <w:pPr>
              <w:rPr>
                <w:rFonts w:ascii="Arial" w:hAnsi="Arial" w:cs="Arial"/>
              </w:rPr>
            </w:pPr>
          </w:p>
        </w:tc>
      </w:tr>
      <w:tr w:rsidR="00334A5E" w:rsidRPr="004B2728" w14:paraId="205249C7" w14:textId="77777777" w:rsidTr="007F783B">
        <w:tc>
          <w:tcPr>
            <w:tcW w:w="1254" w:type="dxa"/>
          </w:tcPr>
          <w:p w14:paraId="095E2504" w14:textId="77777777" w:rsidR="00334A5E" w:rsidRPr="004B2728" w:rsidRDefault="00334A5E" w:rsidP="007F783B">
            <w:pPr>
              <w:rPr>
                <w:rFonts w:ascii="Arial" w:hAnsi="Arial" w:cs="Arial"/>
              </w:rPr>
            </w:pPr>
            <w:r w:rsidRPr="004B2728">
              <w:rPr>
                <w:rFonts w:ascii="Arial" w:hAnsi="Arial" w:cs="Arial"/>
              </w:rPr>
              <w:t>Years 3/4</w:t>
            </w:r>
          </w:p>
        </w:tc>
        <w:tc>
          <w:tcPr>
            <w:tcW w:w="2025" w:type="dxa"/>
            <w:shd w:val="clear" w:color="auto" w:fill="00B050"/>
          </w:tcPr>
          <w:p w14:paraId="7BBECA83" w14:textId="77777777" w:rsidR="00334A5E" w:rsidRPr="004B2728" w:rsidRDefault="00334A5E" w:rsidP="007F783B">
            <w:pPr>
              <w:rPr>
                <w:rFonts w:ascii="Arial" w:hAnsi="Arial" w:cs="Arial"/>
              </w:rPr>
            </w:pPr>
          </w:p>
        </w:tc>
        <w:tc>
          <w:tcPr>
            <w:tcW w:w="2026" w:type="dxa"/>
            <w:shd w:val="clear" w:color="auto" w:fill="00B050"/>
          </w:tcPr>
          <w:p w14:paraId="616C0F68" w14:textId="77777777" w:rsidR="00334A5E" w:rsidRPr="004B2728" w:rsidRDefault="00334A5E" w:rsidP="007F783B">
            <w:pPr>
              <w:rPr>
                <w:rFonts w:ascii="Arial" w:hAnsi="Arial" w:cs="Arial"/>
              </w:rPr>
            </w:pPr>
          </w:p>
        </w:tc>
        <w:tc>
          <w:tcPr>
            <w:tcW w:w="2025" w:type="dxa"/>
            <w:shd w:val="clear" w:color="auto" w:fill="00B050"/>
          </w:tcPr>
          <w:p w14:paraId="0997E087" w14:textId="77777777" w:rsidR="00334A5E" w:rsidRPr="004B2728" w:rsidRDefault="00334A5E" w:rsidP="007F783B">
            <w:pPr>
              <w:rPr>
                <w:rFonts w:ascii="Arial" w:hAnsi="Arial" w:cs="Arial"/>
              </w:rPr>
            </w:pPr>
          </w:p>
        </w:tc>
        <w:tc>
          <w:tcPr>
            <w:tcW w:w="2026" w:type="dxa"/>
          </w:tcPr>
          <w:p w14:paraId="228D430F" w14:textId="77777777" w:rsidR="00334A5E" w:rsidRPr="004B2728" w:rsidRDefault="00334A5E" w:rsidP="007F783B">
            <w:pPr>
              <w:rPr>
                <w:rFonts w:ascii="Arial" w:hAnsi="Arial" w:cs="Arial"/>
              </w:rPr>
            </w:pPr>
          </w:p>
        </w:tc>
      </w:tr>
      <w:tr w:rsidR="00334A5E" w:rsidRPr="004B2728" w14:paraId="7DE45014" w14:textId="77777777" w:rsidTr="007F783B">
        <w:tc>
          <w:tcPr>
            <w:tcW w:w="1254" w:type="dxa"/>
          </w:tcPr>
          <w:p w14:paraId="0FE51B08" w14:textId="77777777" w:rsidR="00334A5E" w:rsidRPr="004B2728" w:rsidRDefault="00334A5E" w:rsidP="007F783B">
            <w:pPr>
              <w:rPr>
                <w:rFonts w:ascii="Arial" w:hAnsi="Arial" w:cs="Arial"/>
              </w:rPr>
            </w:pPr>
            <w:r w:rsidRPr="004B2728">
              <w:rPr>
                <w:rFonts w:ascii="Arial" w:hAnsi="Arial" w:cs="Arial"/>
              </w:rPr>
              <w:t>Years 5/6</w:t>
            </w:r>
          </w:p>
        </w:tc>
        <w:tc>
          <w:tcPr>
            <w:tcW w:w="2025" w:type="dxa"/>
            <w:shd w:val="clear" w:color="auto" w:fill="00B050"/>
          </w:tcPr>
          <w:p w14:paraId="634ABD2C" w14:textId="77777777" w:rsidR="00334A5E" w:rsidRPr="004B2728" w:rsidRDefault="00334A5E" w:rsidP="007F783B">
            <w:pPr>
              <w:rPr>
                <w:rFonts w:ascii="Arial" w:hAnsi="Arial" w:cs="Arial"/>
              </w:rPr>
            </w:pPr>
          </w:p>
        </w:tc>
        <w:tc>
          <w:tcPr>
            <w:tcW w:w="2026" w:type="dxa"/>
            <w:shd w:val="clear" w:color="auto" w:fill="00B050"/>
          </w:tcPr>
          <w:p w14:paraId="454834D3" w14:textId="77777777" w:rsidR="00334A5E" w:rsidRPr="004B2728" w:rsidRDefault="00334A5E" w:rsidP="007F783B">
            <w:pPr>
              <w:rPr>
                <w:rFonts w:ascii="Arial" w:hAnsi="Arial" w:cs="Arial"/>
              </w:rPr>
            </w:pPr>
          </w:p>
        </w:tc>
        <w:tc>
          <w:tcPr>
            <w:tcW w:w="2025" w:type="dxa"/>
            <w:shd w:val="clear" w:color="auto" w:fill="00B050"/>
          </w:tcPr>
          <w:p w14:paraId="7E1F5572" w14:textId="77777777" w:rsidR="00334A5E" w:rsidRPr="004B2728" w:rsidRDefault="00334A5E" w:rsidP="007F783B">
            <w:pPr>
              <w:rPr>
                <w:rFonts w:ascii="Arial" w:hAnsi="Arial" w:cs="Arial"/>
              </w:rPr>
            </w:pPr>
          </w:p>
        </w:tc>
        <w:tc>
          <w:tcPr>
            <w:tcW w:w="2026" w:type="dxa"/>
            <w:shd w:val="clear" w:color="auto" w:fill="00B050"/>
          </w:tcPr>
          <w:p w14:paraId="131DEB9B" w14:textId="77777777" w:rsidR="00334A5E" w:rsidRPr="004B2728" w:rsidRDefault="00334A5E" w:rsidP="007F783B">
            <w:pPr>
              <w:rPr>
                <w:rFonts w:ascii="Arial" w:hAnsi="Arial" w:cs="Arial"/>
              </w:rPr>
            </w:pPr>
          </w:p>
        </w:tc>
      </w:tr>
    </w:tbl>
    <w:p w14:paraId="351B3321" w14:textId="77777777" w:rsidR="00334A5E" w:rsidRPr="00D86471" w:rsidRDefault="00334A5E" w:rsidP="00D86471"/>
    <w:p w14:paraId="7DBA23BB" w14:textId="3C7336E2" w:rsidR="0032194F" w:rsidRPr="004B2728" w:rsidRDefault="0032194F" w:rsidP="0032194F">
      <w:pPr>
        <w:rPr>
          <w:rFonts w:ascii="Arial" w:hAnsi="Arial" w:cs="Arial"/>
          <w:sz w:val="22"/>
          <w:szCs w:val="22"/>
          <w:u w:val="single"/>
        </w:rPr>
      </w:pPr>
      <w:r w:rsidRPr="004B2728">
        <w:rPr>
          <w:rFonts w:ascii="Arial" w:hAnsi="Arial" w:cs="Arial"/>
          <w:sz w:val="22"/>
          <w:szCs w:val="22"/>
          <w:u w:val="single"/>
        </w:rPr>
        <w:t>Objectives</w:t>
      </w:r>
      <w:r>
        <w:rPr>
          <w:rFonts w:ascii="Arial" w:hAnsi="Arial" w:cs="Arial"/>
          <w:sz w:val="22"/>
          <w:szCs w:val="22"/>
          <w:u w:val="single"/>
        </w:rPr>
        <w:t xml:space="preserve"> and Skills</w:t>
      </w:r>
    </w:p>
    <w:p w14:paraId="68F9A6E1" w14:textId="3A20383E" w:rsidR="0032194F" w:rsidRPr="004B2728" w:rsidRDefault="0032194F" w:rsidP="0032194F">
      <w:pPr>
        <w:rPr>
          <w:rFonts w:ascii="Arial" w:hAnsi="Arial" w:cs="Arial"/>
          <w:sz w:val="22"/>
          <w:szCs w:val="22"/>
        </w:rPr>
      </w:pPr>
      <w:r w:rsidRPr="004B2728">
        <w:rPr>
          <w:rFonts w:ascii="Arial" w:hAnsi="Arial" w:cs="Arial"/>
          <w:sz w:val="22"/>
          <w:szCs w:val="22"/>
        </w:rPr>
        <w:t xml:space="preserve">At </w:t>
      </w:r>
      <w:r>
        <w:rPr>
          <w:rFonts w:ascii="Arial" w:hAnsi="Arial" w:cs="Arial"/>
          <w:sz w:val="22"/>
          <w:szCs w:val="22"/>
        </w:rPr>
        <w:t>Turves Green</w:t>
      </w:r>
      <w:r w:rsidRPr="004B2728">
        <w:rPr>
          <w:rFonts w:ascii="Arial" w:hAnsi="Arial" w:cs="Arial"/>
          <w:sz w:val="22"/>
          <w:szCs w:val="22"/>
        </w:rPr>
        <w:t xml:space="preserve">, we have reduced the number of writing objectives each year group has to complete in a year to approximately 20. These should be taught and embedded throughout the year. </w:t>
      </w:r>
      <w:r w:rsidR="00D71FB6" w:rsidRPr="00D71FB6">
        <w:rPr>
          <w:rFonts w:ascii="Arial" w:hAnsi="Arial" w:cs="Arial"/>
          <w:sz w:val="22"/>
          <w:szCs w:val="22"/>
        </w:rPr>
        <w:t>Our</w:t>
      </w:r>
      <w:r w:rsidR="008869A3" w:rsidRPr="00D71FB6">
        <w:rPr>
          <w:rFonts w:ascii="Arial" w:hAnsi="Arial" w:cs="Arial"/>
          <w:sz w:val="22"/>
          <w:szCs w:val="22"/>
        </w:rPr>
        <w:t xml:space="preserve"> aim</w:t>
      </w:r>
      <w:r w:rsidR="00D71FB6" w:rsidRPr="00D71FB6">
        <w:rPr>
          <w:rFonts w:ascii="Arial" w:hAnsi="Arial" w:cs="Arial"/>
          <w:sz w:val="22"/>
          <w:szCs w:val="22"/>
        </w:rPr>
        <w:t xml:space="preserve"> is</w:t>
      </w:r>
      <w:r w:rsidR="008869A3" w:rsidRPr="00D71FB6">
        <w:rPr>
          <w:rFonts w:ascii="Arial" w:hAnsi="Arial" w:cs="Arial"/>
          <w:sz w:val="22"/>
          <w:szCs w:val="22"/>
        </w:rPr>
        <w:t xml:space="preserve"> </w:t>
      </w:r>
      <w:r w:rsidR="00D71FB6" w:rsidRPr="00D71FB6">
        <w:rPr>
          <w:rFonts w:ascii="Arial" w:hAnsi="Arial" w:cs="Arial"/>
          <w:sz w:val="22"/>
          <w:szCs w:val="22"/>
        </w:rPr>
        <w:t>that</w:t>
      </w:r>
      <w:r w:rsidRPr="00D71FB6">
        <w:rPr>
          <w:rFonts w:ascii="Arial" w:hAnsi="Arial" w:cs="Arial"/>
          <w:sz w:val="22"/>
          <w:szCs w:val="22"/>
        </w:rPr>
        <w:t xml:space="preserve"> 100% of pupils use these 100% accurately, 100% of the time by the end of the year.</w:t>
      </w:r>
      <w:r w:rsidRPr="004B2728">
        <w:rPr>
          <w:rFonts w:ascii="Arial" w:hAnsi="Arial" w:cs="Arial"/>
          <w:sz w:val="22"/>
          <w:szCs w:val="22"/>
        </w:rPr>
        <w:t xml:space="preserve"> </w:t>
      </w:r>
      <w:r>
        <w:rPr>
          <w:rFonts w:ascii="Arial" w:hAnsi="Arial" w:cs="Arial"/>
          <w:sz w:val="22"/>
          <w:szCs w:val="22"/>
        </w:rPr>
        <w:t>This is achieved through precise teaching, repeated practise of the skills</w:t>
      </w:r>
      <w:r w:rsidR="00897268">
        <w:rPr>
          <w:rFonts w:ascii="Arial" w:hAnsi="Arial" w:cs="Arial"/>
          <w:sz w:val="22"/>
          <w:szCs w:val="22"/>
        </w:rPr>
        <w:t xml:space="preserve"> and</w:t>
      </w:r>
      <w:r>
        <w:rPr>
          <w:rFonts w:ascii="Arial" w:hAnsi="Arial" w:cs="Arial"/>
          <w:sz w:val="22"/>
          <w:szCs w:val="22"/>
        </w:rPr>
        <w:t xml:space="preserve"> effective feedback.</w:t>
      </w:r>
    </w:p>
    <w:p w14:paraId="307CC207" w14:textId="77777777" w:rsidR="00B90589" w:rsidRPr="004B2728" w:rsidRDefault="00B90589" w:rsidP="00B90589">
      <w:pPr>
        <w:rPr>
          <w:rFonts w:ascii="Arial" w:hAnsi="Arial" w:cs="Arial"/>
          <w:sz w:val="22"/>
          <w:szCs w:val="22"/>
          <w:u w:val="single"/>
        </w:rPr>
      </w:pPr>
      <w:r w:rsidRPr="004B2728">
        <w:rPr>
          <w:rFonts w:ascii="Arial" w:hAnsi="Arial" w:cs="Arial"/>
          <w:sz w:val="22"/>
          <w:szCs w:val="22"/>
          <w:u w:val="single"/>
        </w:rPr>
        <w:t>Structure of the Week</w:t>
      </w:r>
    </w:p>
    <w:p w14:paraId="3D2C6674" w14:textId="77777777" w:rsidR="00B90589" w:rsidRPr="004B2728" w:rsidRDefault="00B90589" w:rsidP="00B90589">
      <w:pPr>
        <w:rPr>
          <w:rFonts w:ascii="Arial" w:hAnsi="Arial" w:cs="Arial"/>
          <w:sz w:val="22"/>
          <w:szCs w:val="22"/>
        </w:rPr>
      </w:pPr>
      <w:r w:rsidRPr="004B2728">
        <w:rPr>
          <w:rFonts w:ascii="Arial" w:hAnsi="Arial" w:cs="Arial"/>
          <w:sz w:val="22"/>
          <w:szCs w:val="22"/>
        </w:rPr>
        <w:t xml:space="preserve">The writing week is designed so that pupils can develop all aspects of their writing. </w:t>
      </w:r>
    </w:p>
    <w:tbl>
      <w:tblPr>
        <w:tblStyle w:val="TableGrid"/>
        <w:tblW w:w="11057" w:type="dxa"/>
        <w:tblInd w:w="-856" w:type="dxa"/>
        <w:tblLayout w:type="fixed"/>
        <w:tblLook w:val="04A0" w:firstRow="1" w:lastRow="0" w:firstColumn="1" w:lastColumn="0" w:noHBand="0" w:noVBand="1"/>
      </w:tblPr>
      <w:tblGrid>
        <w:gridCol w:w="851"/>
        <w:gridCol w:w="1418"/>
        <w:gridCol w:w="850"/>
        <w:gridCol w:w="1134"/>
        <w:gridCol w:w="1134"/>
        <w:gridCol w:w="1134"/>
        <w:gridCol w:w="1134"/>
        <w:gridCol w:w="1134"/>
        <w:gridCol w:w="1134"/>
        <w:gridCol w:w="1134"/>
      </w:tblGrid>
      <w:tr w:rsidR="00B90589" w:rsidRPr="004B2728" w14:paraId="6CCFB762" w14:textId="77777777" w:rsidTr="007F783B">
        <w:tc>
          <w:tcPr>
            <w:tcW w:w="851" w:type="dxa"/>
          </w:tcPr>
          <w:p w14:paraId="583A14F6" w14:textId="77777777" w:rsidR="00B90589" w:rsidRPr="004B2728" w:rsidRDefault="00B90589" w:rsidP="007F783B">
            <w:pPr>
              <w:jc w:val="center"/>
              <w:rPr>
                <w:rFonts w:ascii="Arial" w:hAnsi="Arial" w:cs="Arial"/>
              </w:rPr>
            </w:pPr>
          </w:p>
        </w:tc>
        <w:tc>
          <w:tcPr>
            <w:tcW w:w="1418" w:type="dxa"/>
          </w:tcPr>
          <w:p w14:paraId="47430E17" w14:textId="77777777" w:rsidR="00B90589" w:rsidRPr="004B2728" w:rsidRDefault="00B90589" w:rsidP="007F783B">
            <w:pPr>
              <w:jc w:val="center"/>
              <w:rPr>
                <w:rFonts w:ascii="Arial" w:hAnsi="Arial" w:cs="Arial"/>
              </w:rPr>
            </w:pPr>
            <w:r w:rsidRPr="004B2728">
              <w:rPr>
                <w:rFonts w:ascii="Arial" w:hAnsi="Arial" w:cs="Arial"/>
              </w:rPr>
              <w:t>Monday</w:t>
            </w:r>
          </w:p>
        </w:tc>
        <w:tc>
          <w:tcPr>
            <w:tcW w:w="1984" w:type="dxa"/>
            <w:gridSpan w:val="2"/>
          </w:tcPr>
          <w:p w14:paraId="72805155" w14:textId="77777777" w:rsidR="00B90589" w:rsidRPr="004B2728" w:rsidRDefault="00B90589" w:rsidP="007F783B">
            <w:pPr>
              <w:jc w:val="center"/>
              <w:rPr>
                <w:rFonts w:ascii="Arial" w:hAnsi="Arial" w:cs="Arial"/>
              </w:rPr>
            </w:pPr>
            <w:r w:rsidRPr="004B2728">
              <w:rPr>
                <w:rFonts w:ascii="Arial" w:hAnsi="Arial" w:cs="Arial"/>
              </w:rPr>
              <w:t>Tuesday</w:t>
            </w:r>
          </w:p>
        </w:tc>
        <w:tc>
          <w:tcPr>
            <w:tcW w:w="2268" w:type="dxa"/>
            <w:gridSpan w:val="2"/>
          </w:tcPr>
          <w:p w14:paraId="3FBD26EF" w14:textId="77777777" w:rsidR="00B90589" w:rsidRPr="004B2728" w:rsidRDefault="00B90589" w:rsidP="007F783B">
            <w:pPr>
              <w:jc w:val="center"/>
              <w:rPr>
                <w:rFonts w:ascii="Arial" w:hAnsi="Arial" w:cs="Arial"/>
              </w:rPr>
            </w:pPr>
            <w:r w:rsidRPr="004B2728">
              <w:rPr>
                <w:rFonts w:ascii="Arial" w:hAnsi="Arial" w:cs="Arial"/>
              </w:rPr>
              <w:t>Wednesday</w:t>
            </w:r>
          </w:p>
        </w:tc>
        <w:tc>
          <w:tcPr>
            <w:tcW w:w="2268" w:type="dxa"/>
            <w:gridSpan w:val="2"/>
          </w:tcPr>
          <w:p w14:paraId="568B7ECE" w14:textId="77777777" w:rsidR="00B90589" w:rsidRPr="004B2728" w:rsidRDefault="00B90589" w:rsidP="007F783B">
            <w:pPr>
              <w:jc w:val="center"/>
              <w:rPr>
                <w:rFonts w:ascii="Arial" w:hAnsi="Arial" w:cs="Arial"/>
              </w:rPr>
            </w:pPr>
            <w:r w:rsidRPr="004B2728">
              <w:rPr>
                <w:rFonts w:ascii="Arial" w:hAnsi="Arial" w:cs="Arial"/>
              </w:rPr>
              <w:t>Thursday</w:t>
            </w:r>
          </w:p>
        </w:tc>
        <w:tc>
          <w:tcPr>
            <w:tcW w:w="2268" w:type="dxa"/>
            <w:gridSpan w:val="2"/>
          </w:tcPr>
          <w:p w14:paraId="408C98D3" w14:textId="77777777" w:rsidR="00B90589" w:rsidRPr="004B2728" w:rsidRDefault="00B90589" w:rsidP="007F783B">
            <w:pPr>
              <w:jc w:val="center"/>
              <w:rPr>
                <w:rFonts w:ascii="Arial" w:hAnsi="Arial" w:cs="Arial"/>
              </w:rPr>
            </w:pPr>
            <w:r w:rsidRPr="004B2728">
              <w:rPr>
                <w:rFonts w:ascii="Arial" w:hAnsi="Arial" w:cs="Arial"/>
              </w:rPr>
              <w:t>Friday</w:t>
            </w:r>
          </w:p>
        </w:tc>
      </w:tr>
      <w:tr w:rsidR="00B90589" w:rsidRPr="004B2728" w14:paraId="1670C7D0" w14:textId="77777777" w:rsidTr="007F783B">
        <w:tc>
          <w:tcPr>
            <w:tcW w:w="851" w:type="dxa"/>
          </w:tcPr>
          <w:p w14:paraId="77BB178B" w14:textId="77777777" w:rsidR="00B90589" w:rsidRPr="004B2728" w:rsidRDefault="00B90589" w:rsidP="007F783B">
            <w:pPr>
              <w:jc w:val="center"/>
              <w:rPr>
                <w:rFonts w:ascii="Arial" w:hAnsi="Arial" w:cs="Arial"/>
              </w:rPr>
            </w:pPr>
            <w:r w:rsidRPr="004B2728">
              <w:rPr>
                <w:rFonts w:ascii="Arial" w:hAnsi="Arial" w:cs="Arial"/>
              </w:rPr>
              <w:t>Years 1/2</w:t>
            </w:r>
          </w:p>
        </w:tc>
        <w:tc>
          <w:tcPr>
            <w:tcW w:w="2268" w:type="dxa"/>
            <w:gridSpan w:val="2"/>
            <w:shd w:val="clear" w:color="auto" w:fill="77FBFF"/>
          </w:tcPr>
          <w:p w14:paraId="5F8333E5" w14:textId="77777777" w:rsidR="00B90589" w:rsidRPr="004B2728" w:rsidRDefault="00B90589" w:rsidP="007F783B">
            <w:pPr>
              <w:jc w:val="center"/>
              <w:rPr>
                <w:rFonts w:ascii="Arial" w:hAnsi="Arial" w:cs="Arial"/>
              </w:rPr>
            </w:pPr>
            <w:r w:rsidRPr="004B2728">
              <w:rPr>
                <w:rFonts w:ascii="Arial" w:hAnsi="Arial" w:cs="Arial"/>
              </w:rPr>
              <w:t>Handwriting</w:t>
            </w:r>
          </w:p>
        </w:tc>
        <w:tc>
          <w:tcPr>
            <w:tcW w:w="1134" w:type="dxa"/>
            <w:shd w:val="clear" w:color="auto" w:fill="7030A0"/>
          </w:tcPr>
          <w:p w14:paraId="476AB088" w14:textId="77777777" w:rsidR="00B90589" w:rsidRPr="004B2728" w:rsidRDefault="00B90589" w:rsidP="007F783B">
            <w:pPr>
              <w:jc w:val="center"/>
              <w:rPr>
                <w:rFonts w:ascii="Arial" w:hAnsi="Arial" w:cs="Arial"/>
                <w:color w:val="FFFFFF" w:themeColor="background1"/>
              </w:rPr>
            </w:pPr>
            <w:r w:rsidRPr="004B2728">
              <w:rPr>
                <w:rFonts w:ascii="Arial" w:hAnsi="Arial" w:cs="Arial"/>
                <w:color w:val="FFFFFF" w:themeColor="background1"/>
              </w:rPr>
              <w:t>Spelling</w:t>
            </w:r>
          </w:p>
        </w:tc>
        <w:tc>
          <w:tcPr>
            <w:tcW w:w="2268" w:type="dxa"/>
            <w:gridSpan w:val="2"/>
            <w:shd w:val="clear" w:color="auto" w:fill="7030A0"/>
          </w:tcPr>
          <w:p w14:paraId="6303312A" w14:textId="77777777" w:rsidR="00B90589" w:rsidRPr="004B2728" w:rsidRDefault="00B90589" w:rsidP="007F783B">
            <w:pPr>
              <w:jc w:val="center"/>
              <w:rPr>
                <w:rFonts w:ascii="Arial" w:hAnsi="Arial" w:cs="Arial"/>
                <w:color w:val="FFFFFF" w:themeColor="background1"/>
              </w:rPr>
            </w:pPr>
            <w:r w:rsidRPr="004B2728">
              <w:rPr>
                <w:rFonts w:ascii="Arial" w:hAnsi="Arial" w:cs="Arial"/>
                <w:color w:val="FFFFFF" w:themeColor="background1"/>
              </w:rPr>
              <w:t>Spelling</w:t>
            </w:r>
          </w:p>
        </w:tc>
        <w:tc>
          <w:tcPr>
            <w:tcW w:w="1134" w:type="dxa"/>
            <w:shd w:val="clear" w:color="auto" w:fill="FFC000"/>
          </w:tcPr>
          <w:p w14:paraId="0C81F758"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70FAB1B3" w14:textId="77777777" w:rsidR="00B90589" w:rsidRPr="004B2728" w:rsidRDefault="00B90589" w:rsidP="007F783B">
            <w:pPr>
              <w:jc w:val="center"/>
              <w:rPr>
                <w:rFonts w:ascii="Arial" w:hAnsi="Arial" w:cs="Arial"/>
              </w:rPr>
            </w:pPr>
            <w:r w:rsidRPr="004B2728">
              <w:rPr>
                <w:rFonts w:ascii="Arial" w:hAnsi="Arial" w:cs="Arial"/>
              </w:rPr>
              <w:t>Composition</w:t>
            </w:r>
          </w:p>
        </w:tc>
        <w:tc>
          <w:tcPr>
            <w:tcW w:w="1134" w:type="dxa"/>
            <w:shd w:val="clear" w:color="auto" w:fill="FFC000"/>
          </w:tcPr>
          <w:p w14:paraId="5C800BD9"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37536C5C" w14:textId="77777777" w:rsidR="00B90589" w:rsidRPr="004B2728" w:rsidRDefault="00B90589" w:rsidP="007F783B">
            <w:pPr>
              <w:jc w:val="center"/>
              <w:rPr>
                <w:rFonts w:ascii="Arial" w:hAnsi="Arial" w:cs="Arial"/>
              </w:rPr>
            </w:pPr>
            <w:r w:rsidRPr="004B2728">
              <w:rPr>
                <w:rFonts w:ascii="Arial" w:hAnsi="Arial" w:cs="Arial"/>
              </w:rPr>
              <w:t>Composition</w:t>
            </w:r>
          </w:p>
        </w:tc>
      </w:tr>
      <w:tr w:rsidR="00B90589" w:rsidRPr="004B2728" w14:paraId="2A220D49" w14:textId="77777777" w:rsidTr="007F783B">
        <w:tc>
          <w:tcPr>
            <w:tcW w:w="851" w:type="dxa"/>
          </w:tcPr>
          <w:p w14:paraId="7FAE277D" w14:textId="77777777" w:rsidR="00B90589" w:rsidRPr="004B2728" w:rsidRDefault="00B90589" w:rsidP="007F783B">
            <w:pPr>
              <w:jc w:val="center"/>
              <w:rPr>
                <w:rFonts w:ascii="Arial" w:hAnsi="Arial" w:cs="Arial"/>
              </w:rPr>
            </w:pPr>
            <w:r w:rsidRPr="004B2728">
              <w:rPr>
                <w:rFonts w:ascii="Arial" w:hAnsi="Arial" w:cs="Arial"/>
              </w:rPr>
              <w:t>Years 3/4</w:t>
            </w:r>
          </w:p>
        </w:tc>
        <w:tc>
          <w:tcPr>
            <w:tcW w:w="1418" w:type="dxa"/>
            <w:shd w:val="clear" w:color="auto" w:fill="77FBFF"/>
          </w:tcPr>
          <w:p w14:paraId="572DD7B3" w14:textId="77777777" w:rsidR="00B90589" w:rsidRPr="004B2728" w:rsidRDefault="00B90589" w:rsidP="007F783B">
            <w:pPr>
              <w:jc w:val="center"/>
              <w:rPr>
                <w:rFonts w:ascii="Arial" w:hAnsi="Arial" w:cs="Arial"/>
              </w:rPr>
            </w:pPr>
            <w:r w:rsidRPr="004B2728">
              <w:rPr>
                <w:rFonts w:ascii="Arial" w:hAnsi="Arial" w:cs="Arial"/>
              </w:rPr>
              <w:t>Handwriting</w:t>
            </w:r>
          </w:p>
        </w:tc>
        <w:tc>
          <w:tcPr>
            <w:tcW w:w="1984" w:type="dxa"/>
            <w:gridSpan w:val="2"/>
            <w:shd w:val="clear" w:color="auto" w:fill="7030A0"/>
          </w:tcPr>
          <w:p w14:paraId="14B8E072" w14:textId="77777777" w:rsidR="00B90589" w:rsidRPr="004B2728" w:rsidRDefault="00B90589" w:rsidP="007F783B">
            <w:pPr>
              <w:jc w:val="center"/>
              <w:rPr>
                <w:rFonts w:ascii="Arial" w:hAnsi="Arial" w:cs="Arial"/>
                <w:color w:val="FFFFFF" w:themeColor="background1"/>
              </w:rPr>
            </w:pPr>
            <w:r w:rsidRPr="004B2728">
              <w:rPr>
                <w:rFonts w:ascii="Arial" w:hAnsi="Arial" w:cs="Arial"/>
                <w:color w:val="FFFFFF" w:themeColor="background1"/>
              </w:rPr>
              <w:t>Spelling</w:t>
            </w:r>
          </w:p>
        </w:tc>
        <w:tc>
          <w:tcPr>
            <w:tcW w:w="1134" w:type="dxa"/>
            <w:shd w:val="clear" w:color="auto" w:fill="FFC000"/>
          </w:tcPr>
          <w:p w14:paraId="138736E8"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45520C51" w14:textId="77777777" w:rsidR="00B90589" w:rsidRPr="004B2728" w:rsidRDefault="00B90589" w:rsidP="007F783B">
            <w:pPr>
              <w:jc w:val="center"/>
              <w:rPr>
                <w:rFonts w:ascii="Arial" w:hAnsi="Arial" w:cs="Arial"/>
              </w:rPr>
            </w:pPr>
            <w:r w:rsidRPr="004B2728">
              <w:rPr>
                <w:rFonts w:ascii="Arial" w:hAnsi="Arial" w:cs="Arial"/>
              </w:rPr>
              <w:t>Composition</w:t>
            </w:r>
          </w:p>
        </w:tc>
        <w:tc>
          <w:tcPr>
            <w:tcW w:w="1134" w:type="dxa"/>
            <w:shd w:val="clear" w:color="auto" w:fill="FFC000"/>
          </w:tcPr>
          <w:p w14:paraId="77AF5571"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1C6DBDF9" w14:textId="77777777" w:rsidR="00B90589" w:rsidRPr="004B2728" w:rsidRDefault="00B90589" w:rsidP="007F783B">
            <w:pPr>
              <w:jc w:val="center"/>
              <w:rPr>
                <w:rFonts w:ascii="Arial" w:hAnsi="Arial" w:cs="Arial"/>
              </w:rPr>
            </w:pPr>
            <w:r w:rsidRPr="004B2728">
              <w:rPr>
                <w:rFonts w:ascii="Arial" w:hAnsi="Arial" w:cs="Arial"/>
              </w:rPr>
              <w:t>Composition</w:t>
            </w:r>
          </w:p>
        </w:tc>
        <w:tc>
          <w:tcPr>
            <w:tcW w:w="1134" w:type="dxa"/>
            <w:shd w:val="clear" w:color="auto" w:fill="FFC000"/>
          </w:tcPr>
          <w:p w14:paraId="391DBEEB"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4531FF75" w14:textId="77777777" w:rsidR="00B90589" w:rsidRPr="004B2728" w:rsidRDefault="00B90589" w:rsidP="007F783B">
            <w:pPr>
              <w:jc w:val="center"/>
              <w:rPr>
                <w:rFonts w:ascii="Arial" w:hAnsi="Arial" w:cs="Arial"/>
              </w:rPr>
            </w:pPr>
            <w:r w:rsidRPr="004B2728">
              <w:rPr>
                <w:rFonts w:ascii="Arial" w:hAnsi="Arial" w:cs="Arial"/>
              </w:rPr>
              <w:t>Composition</w:t>
            </w:r>
          </w:p>
        </w:tc>
      </w:tr>
      <w:tr w:rsidR="00B90589" w:rsidRPr="004B2728" w14:paraId="0A3C8B82" w14:textId="77777777" w:rsidTr="007F783B">
        <w:tc>
          <w:tcPr>
            <w:tcW w:w="851" w:type="dxa"/>
          </w:tcPr>
          <w:p w14:paraId="776484EE" w14:textId="77777777" w:rsidR="00B90589" w:rsidRPr="004B2728" w:rsidRDefault="00B90589" w:rsidP="007F783B">
            <w:pPr>
              <w:jc w:val="center"/>
              <w:rPr>
                <w:rFonts w:ascii="Arial" w:hAnsi="Arial" w:cs="Arial"/>
              </w:rPr>
            </w:pPr>
            <w:r w:rsidRPr="004B2728">
              <w:rPr>
                <w:rFonts w:ascii="Arial" w:hAnsi="Arial" w:cs="Arial"/>
              </w:rPr>
              <w:t>Years 5/6</w:t>
            </w:r>
          </w:p>
        </w:tc>
        <w:tc>
          <w:tcPr>
            <w:tcW w:w="1418" w:type="dxa"/>
            <w:shd w:val="clear" w:color="auto" w:fill="77FBFF"/>
          </w:tcPr>
          <w:p w14:paraId="664C8F60" w14:textId="77777777" w:rsidR="00B90589" w:rsidRPr="004B2728" w:rsidRDefault="00B90589" w:rsidP="007F783B">
            <w:pPr>
              <w:jc w:val="center"/>
              <w:rPr>
                <w:rFonts w:ascii="Arial" w:hAnsi="Arial" w:cs="Arial"/>
              </w:rPr>
            </w:pPr>
            <w:r w:rsidRPr="004B2728">
              <w:rPr>
                <w:rFonts w:ascii="Arial" w:hAnsi="Arial" w:cs="Arial"/>
              </w:rPr>
              <w:t>Handwriting</w:t>
            </w:r>
          </w:p>
        </w:tc>
        <w:tc>
          <w:tcPr>
            <w:tcW w:w="1984" w:type="dxa"/>
            <w:gridSpan w:val="2"/>
            <w:shd w:val="clear" w:color="auto" w:fill="7030A0"/>
          </w:tcPr>
          <w:p w14:paraId="22254BE4" w14:textId="77777777" w:rsidR="00B90589" w:rsidRPr="004B2728" w:rsidRDefault="00B90589" w:rsidP="007F783B">
            <w:pPr>
              <w:jc w:val="center"/>
              <w:rPr>
                <w:rFonts w:ascii="Arial" w:hAnsi="Arial" w:cs="Arial"/>
                <w:color w:val="FFFFFF" w:themeColor="background1"/>
              </w:rPr>
            </w:pPr>
            <w:r w:rsidRPr="004B2728">
              <w:rPr>
                <w:rFonts w:ascii="Arial" w:hAnsi="Arial" w:cs="Arial"/>
                <w:color w:val="FFFFFF" w:themeColor="background1"/>
              </w:rPr>
              <w:t>Spelling</w:t>
            </w:r>
          </w:p>
        </w:tc>
        <w:tc>
          <w:tcPr>
            <w:tcW w:w="1134" w:type="dxa"/>
            <w:shd w:val="clear" w:color="auto" w:fill="FFC000"/>
          </w:tcPr>
          <w:p w14:paraId="0BDD2087"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3D35A572" w14:textId="77777777" w:rsidR="00B90589" w:rsidRPr="004B2728" w:rsidRDefault="00B90589" w:rsidP="007F783B">
            <w:pPr>
              <w:jc w:val="center"/>
              <w:rPr>
                <w:rFonts w:ascii="Arial" w:hAnsi="Arial" w:cs="Arial"/>
              </w:rPr>
            </w:pPr>
            <w:r w:rsidRPr="004B2728">
              <w:rPr>
                <w:rFonts w:ascii="Arial" w:hAnsi="Arial" w:cs="Arial"/>
              </w:rPr>
              <w:t>Composition</w:t>
            </w:r>
          </w:p>
        </w:tc>
        <w:tc>
          <w:tcPr>
            <w:tcW w:w="1134" w:type="dxa"/>
            <w:shd w:val="clear" w:color="auto" w:fill="FFC000"/>
          </w:tcPr>
          <w:p w14:paraId="4E18EE6A"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2D7F36D8" w14:textId="77777777" w:rsidR="00B90589" w:rsidRPr="004B2728" w:rsidRDefault="00B90589" w:rsidP="007F783B">
            <w:pPr>
              <w:jc w:val="center"/>
              <w:rPr>
                <w:rFonts w:ascii="Arial" w:hAnsi="Arial" w:cs="Arial"/>
              </w:rPr>
            </w:pPr>
            <w:r w:rsidRPr="004B2728">
              <w:rPr>
                <w:rFonts w:ascii="Arial" w:hAnsi="Arial" w:cs="Arial"/>
              </w:rPr>
              <w:t>Composition</w:t>
            </w:r>
          </w:p>
        </w:tc>
        <w:tc>
          <w:tcPr>
            <w:tcW w:w="1134" w:type="dxa"/>
            <w:shd w:val="clear" w:color="auto" w:fill="FFC000"/>
          </w:tcPr>
          <w:p w14:paraId="0467CA40" w14:textId="77777777" w:rsidR="00B90589" w:rsidRPr="004B2728" w:rsidRDefault="00B90589" w:rsidP="007F783B">
            <w:pPr>
              <w:jc w:val="center"/>
              <w:rPr>
                <w:rFonts w:ascii="Arial" w:hAnsi="Arial" w:cs="Arial"/>
              </w:rPr>
            </w:pPr>
            <w:r w:rsidRPr="004B2728">
              <w:rPr>
                <w:rFonts w:ascii="Arial" w:hAnsi="Arial" w:cs="Arial"/>
              </w:rPr>
              <w:t>VGP</w:t>
            </w:r>
          </w:p>
        </w:tc>
        <w:tc>
          <w:tcPr>
            <w:tcW w:w="1134" w:type="dxa"/>
            <w:shd w:val="clear" w:color="auto" w:fill="FF0000"/>
          </w:tcPr>
          <w:p w14:paraId="1CC69B32" w14:textId="77777777" w:rsidR="00B90589" w:rsidRPr="004B2728" w:rsidRDefault="00B90589" w:rsidP="007F783B">
            <w:pPr>
              <w:jc w:val="center"/>
              <w:rPr>
                <w:rFonts w:ascii="Arial" w:hAnsi="Arial" w:cs="Arial"/>
              </w:rPr>
            </w:pPr>
            <w:r w:rsidRPr="004B2728">
              <w:rPr>
                <w:rFonts w:ascii="Arial" w:hAnsi="Arial" w:cs="Arial"/>
              </w:rPr>
              <w:t>Composition</w:t>
            </w:r>
          </w:p>
        </w:tc>
      </w:tr>
    </w:tbl>
    <w:p w14:paraId="2E8C9BC9" w14:textId="77777777" w:rsidR="00B90589" w:rsidRDefault="00B90589" w:rsidP="00B90589">
      <w:pPr>
        <w:rPr>
          <w:rFonts w:ascii="Arial" w:hAnsi="Arial" w:cs="Arial"/>
          <w:sz w:val="22"/>
          <w:szCs w:val="22"/>
          <w:u w:val="single"/>
        </w:rPr>
      </w:pPr>
    </w:p>
    <w:p w14:paraId="2805338A" w14:textId="77777777" w:rsidR="00F66B23" w:rsidRPr="00676368" w:rsidRDefault="00F66B23" w:rsidP="00F66B23">
      <w:pPr>
        <w:rPr>
          <w:rFonts w:ascii="Arial" w:hAnsi="Arial" w:cs="Arial"/>
          <w:sz w:val="22"/>
          <w:szCs w:val="22"/>
          <w:u w:val="single"/>
        </w:rPr>
      </w:pPr>
      <w:r w:rsidRPr="00676368">
        <w:rPr>
          <w:rFonts w:ascii="Arial" w:hAnsi="Arial" w:cs="Arial"/>
          <w:sz w:val="22"/>
          <w:szCs w:val="22"/>
          <w:u w:val="single"/>
        </w:rPr>
        <w:t xml:space="preserve">Vocabulary, grammar and punctuation (VGP) and Composition Lessons </w:t>
      </w:r>
    </w:p>
    <w:p w14:paraId="6A970A53" w14:textId="77777777" w:rsidR="00F66B23" w:rsidRPr="00676368" w:rsidRDefault="00F66B23" w:rsidP="00F66B23">
      <w:pPr>
        <w:rPr>
          <w:rFonts w:ascii="Arial" w:hAnsi="Arial" w:cs="Arial"/>
          <w:sz w:val="22"/>
          <w:szCs w:val="22"/>
        </w:rPr>
      </w:pPr>
      <w:r w:rsidRPr="00676368">
        <w:rPr>
          <w:rFonts w:ascii="Arial" w:hAnsi="Arial" w:cs="Arial"/>
          <w:sz w:val="22"/>
          <w:szCs w:val="22"/>
        </w:rPr>
        <w:t>These lessons will be split so that 30 minutes of the lesson is dedicated to VGP and 30 minutes is dedicated to the teaching of sentence structure and composition.</w:t>
      </w:r>
    </w:p>
    <w:p w14:paraId="60367E28" w14:textId="4ADE7EE2" w:rsidR="00F66B23" w:rsidRPr="00676368" w:rsidRDefault="00F66B23" w:rsidP="00F66B23">
      <w:pPr>
        <w:rPr>
          <w:rFonts w:ascii="Arial" w:hAnsi="Arial" w:cs="Arial"/>
          <w:sz w:val="22"/>
          <w:szCs w:val="22"/>
        </w:rPr>
      </w:pPr>
      <w:r w:rsidRPr="00676368">
        <w:rPr>
          <w:rFonts w:ascii="Arial" w:hAnsi="Arial" w:cs="Arial"/>
          <w:sz w:val="22"/>
          <w:szCs w:val="22"/>
        </w:rPr>
        <w:t>The focus for the VGP element of the lessons come from the KPI</w:t>
      </w:r>
      <w:r w:rsidR="004C7997">
        <w:rPr>
          <w:rFonts w:ascii="Arial" w:hAnsi="Arial" w:cs="Arial"/>
          <w:sz w:val="22"/>
          <w:szCs w:val="22"/>
        </w:rPr>
        <w:t>s/ objectives for each year group</w:t>
      </w:r>
      <w:r w:rsidRPr="00676368">
        <w:rPr>
          <w:rFonts w:ascii="Arial" w:hAnsi="Arial" w:cs="Arial"/>
          <w:sz w:val="22"/>
          <w:szCs w:val="22"/>
        </w:rPr>
        <w:t xml:space="preserve">. </w:t>
      </w:r>
    </w:p>
    <w:p w14:paraId="05598E1C" w14:textId="77777777" w:rsidR="00F66B23" w:rsidRPr="00676368" w:rsidRDefault="00F66B23" w:rsidP="00F66B23">
      <w:pPr>
        <w:rPr>
          <w:rFonts w:ascii="Arial" w:hAnsi="Arial" w:cs="Arial"/>
          <w:sz w:val="22"/>
          <w:szCs w:val="22"/>
          <w:u w:val="single"/>
        </w:rPr>
      </w:pPr>
      <w:r w:rsidRPr="00676368">
        <w:rPr>
          <w:rFonts w:ascii="Arial" w:hAnsi="Arial" w:cs="Arial"/>
          <w:sz w:val="22"/>
          <w:szCs w:val="22"/>
          <w:u w:val="single"/>
        </w:rPr>
        <w:t xml:space="preserve">Handwriting </w:t>
      </w:r>
    </w:p>
    <w:p w14:paraId="57AD7953" w14:textId="2B12D648" w:rsidR="00F66B23" w:rsidRPr="004B2728" w:rsidRDefault="00F66B23" w:rsidP="00F66B23">
      <w:pPr>
        <w:rPr>
          <w:rFonts w:ascii="Arial" w:hAnsi="Arial" w:cs="Arial"/>
          <w:sz w:val="22"/>
          <w:szCs w:val="22"/>
        </w:rPr>
      </w:pPr>
      <w:r w:rsidRPr="00676368">
        <w:rPr>
          <w:rFonts w:ascii="Arial" w:hAnsi="Arial" w:cs="Arial"/>
          <w:sz w:val="22"/>
          <w:szCs w:val="22"/>
        </w:rPr>
        <w:t xml:space="preserve">Handwriting is taught using the </w:t>
      </w:r>
      <w:r>
        <w:rPr>
          <w:rFonts w:ascii="Arial" w:hAnsi="Arial" w:cs="Arial"/>
          <w:sz w:val="22"/>
          <w:szCs w:val="22"/>
        </w:rPr>
        <w:t>Nelson</w:t>
      </w:r>
      <w:r w:rsidRPr="00676368">
        <w:rPr>
          <w:rFonts w:ascii="Arial" w:hAnsi="Arial" w:cs="Arial"/>
          <w:sz w:val="22"/>
          <w:szCs w:val="22"/>
        </w:rPr>
        <w:t xml:space="preserve"> scheme. Teachers should demonstrate consistently, high expectations for pupils handwriting. Teachers are expected to use this font in their written comments</w:t>
      </w:r>
      <w:r w:rsidRPr="004B2728">
        <w:rPr>
          <w:rFonts w:ascii="Arial" w:hAnsi="Arial" w:cs="Arial"/>
          <w:sz w:val="22"/>
          <w:szCs w:val="22"/>
        </w:rPr>
        <w:t xml:space="preserve"> and pupils are expected to apply this across all their learning.</w:t>
      </w:r>
    </w:p>
    <w:p w14:paraId="65A75D99" w14:textId="77777777" w:rsidR="00F66B23" w:rsidRPr="004B2728" w:rsidRDefault="00F66B23" w:rsidP="00F66B23">
      <w:pPr>
        <w:rPr>
          <w:rFonts w:ascii="Arial" w:hAnsi="Arial" w:cs="Arial"/>
          <w:sz w:val="22"/>
          <w:szCs w:val="22"/>
          <w:u w:val="single"/>
        </w:rPr>
      </w:pPr>
      <w:r w:rsidRPr="004B2728">
        <w:rPr>
          <w:rFonts w:ascii="Arial" w:hAnsi="Arial" w:cs="Arial"/>
          <w:sz w:val="22"/>
          <w:szCs w:val="22"/>
          <w:u w:val="single"/>
        </w:rPr>
        <w:t>Spellings</w:t>
      </w:r>
    </w:p>
    <w:p w14:paraId="60BE9F8E" w14:textId="77777777" w:rsidR="00F66B23" w:rsidRDefault="00F66B23" w:rsidP="00F66B23">
      <w:pPr>
        <w:rPr>
          <w:sz w:val="22"/>
          <w:szCs w:val="22"/>
        </w:rPr>
      </w:pPr>
      <w:r w:rsidRPr="004B2728">
        <w:rPr>
          <w:rFonts w:ascii="Arial" w:hAnsi="Arial" w:cs="Arial"/>
          <w:sz w:val="22"/>
          <w:szCs w:val="22"/>
        </w:rPr>
        <w:t>To teach spelling we use the Spelling Shed online scheme. This contains 216 lessons. These are based on phonics</w:t>
      </w:r>
      <w:r>
        <w:rPr>
          <w:rFonts w:ascii="Arial" w:hAnsi="Arial" w:cs="Arial"/>
          <w:sz w:val="22"/>
          <w:szCs w:val="22"/>
        </w:rPr>
        <w:t xml:space="preserve"> (orthography)</w:t>
      </w:r>
      <w:r w:rsidRPr="004B2728">
        <w:rPr>
          <w:rFonts w:ascii="Arial" w:hAnsi="Arial" w:cs="Arial"/>
          <w:sz w:val="22"/>
          <w:szCs w:val="22"/>
        </w:rPr>
        <w:t>, morphology and etymology and they include the main teaching inputs, which can be followed up with additional activities as require</w:t>
      </w:r>
      <w:r>
        <w:rPr>
          <w:sz w:val="22"/>
          <w:szCs w:val="22"/>
        </w:rPr>
        <w:t xml:space="preserve">d. </w:t>
      </w:r>
    </w:p>
    <w:p w14:paraId="0BFBF6C9" w14:textId="77777777" w:rsidR="00F66B23" w:rsidRDefault="00F66B23" w:rsidP="00F66B23">
      <w:pPr>
        <w:pBdr>
          <w:top w:val="nil"/>
          <w:left w:val="nil"/>
          <w:bottom w:val="nil"/>
          <w:right w:val="nil"/>
          <w:between w:val="nil"/>
        </w:pBdr>
        <w:jc w:val="center"/>
        <w:rPr>
          <w:rFonts w:ascii="Arial" w:eastAsia="Arial" w:hAnsi="Arial" w:cs="Arial"/>
          <w:b/>
          <w:u w:val="single"/>
        </w:rPr>
      </w:pPr>
    </w:p>
    <w:p w14:paraId="70A4D332" w14:textId="77777777" w:rsidR="00A91242" w:rsidRDefault="00A91242" w:rsidP="00A91242">
      <w:pPr>
        <w:rPr>
          <w:rFonts w:ascii="Arial" w:hAnsi="Arial" w:cs="Arial"/>
          <w:sz w:val="22"/>
          <w:szCs w:val="22"/>
          <w:u w:val="single"/>
        </w:rPr>
      </w:pPr>
      <w:r>
        <w:rPr>
          <w:rFonts w:ascii="Arial" w:hAnsi="Arial" w:cs="Arial"/>
          <w:sz w:val="22"/>
          <w:szCs w:val="22"/>
          <w:u w:val="single"/>
        </w:rPr>
        <w:t>Yearly Overview Plan</w:t>
      </w:r>
    </w:p>
    <w:p w14:paraId="0B5FF4E3" w14:textId="055E7037" w:rsidR="00C536BA" w:rsidRPr="00C536BA" w:rsidRDefault="00C536BA" w:rsidP="00E72646">
      <w:r w:rsidRPr="00C536BA">
        <w:lastRenderedPageBreak/>
        <w:t>KS2</w:t>
      </w:r>
    </w:p>
    <w:p w14:paraId="3CC49A0A" w14:textId="3502BADE" w:rsidR="00C536BA" w:rsidRPr="00E72646" w:rsidRDefault="00C536BA" w:rsidP="00E72646">
      <w:r w:rsidRPr="00C536BA">
        <w:rPr>
          <w:noProof/>
        </w:rPr>
        <w:drawing>
          <wp:inline distT="0" distB="0" distL="0" distR="0" wp14:anchorId="44C7AFF7" wp14:editId="0DD82E02">
            <wp:extent cx="6253962" cy="3392355"/>
            <wp:effectExtent l="0" t="0" r="0" b="0"/>
            <wp:docPr id="12851554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55425" name="Picture 1" descr="A screenshot of a computer&#10;&#10;Description automatically generated"/>
                    <pic:cNvPicPr/>
                  </pic:nvPicPr>
                  <pic:blipFill>
                    <a:blip r:embed="rId9"/>
                    <a:stretch>
                      <a:fillRect/>
                    </a:stretch>
                  </pic:blipFill>
                  <pic:spPr>
                    <a:xfrm>
                      <a:off x="0" y="0"/>
                      <a:ext cx="6267064" cy="3399462"/>
                    </a:xfrm>
                    <a:prstGeom prst="rect">
                      <a:avLst/>
                    </a:prstGeom>
                  </pic:spPr>
                </pic:pic>
              </a:graphicData>
            </a:graphic>
          </wp:inline>
        </w:drawing>
      </w:r>
    </w:p>
    <w:sectPr w:rsidR="00C536BA" w:rsidRPr="00E72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239"/>
    <w:multiLevelType w:val="multilevel"/>
    <w:tmpl w:val="C57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56626"/>
    <w:multiLevelType w:val="multilevel"/>
    <w:tmpl w:val="21A4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CC7657"/>
    <w:multiLevelType w:val="multilevel"/>
    <w:tmpl w:val="6EC0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319941">
    <w:abstractNumId w:val="1"/>
  </w:num>
  <w:num w:numId="2" w16cid:durableId="481777525">
    <w:abstractNumId w:val="0"/>
  </w:num>
  <w:num w:numId="3" w16cid:durableId="862134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46"/>
    <w:rsid w:val="00037D78"/>
    <w:rsid w:val="000967E9"/>
    <w:rsid w:val="000A21D7"/>
    <w:rsid w:val="00131EE1"/>
    <w:rsid w:val="00147055"/>
    <w:rsid w:val="00173003"/>
    <w:rsid w:val="00182C6F"/>
    <w:rsid w:val="0019632E"/>
    <w:rsid w:val="001A61F5"/>
    <w:rsid w:val="00234980"/>
    <w:rsid w:val="002C4E37"/>
    <w:rsid w:val="002F18D4"/>
    <w:rsid w:val="00310A86"/>
    <w:rsid w:val="0032194F"/>
    <w:rsid w:val="0032208E"/>
    <w:rsid w:val="00327C4F"/>
    <w:rsid w:val="00334A5E"/>
    <w:rsid w:val="00357E62"/>
    <w:rsid w:val="004637C8"/>
    <w:rsid w:val="004C7997"/>
    <w:rsid w:val="004D7757"/>
    <w:rsid w:val="005422D9"/>
    <w:rsid w:val="0055596B"/>
    <w:rsid w:val="00571EA5"/>
    <w:rsid w:val="00593523"/>
    <w:rsid w:val="005B2AFC"/>
    <w:rsid w:val="006B045C"/>
    <w:rsid w:val="006E5A24"/>
    <w:rsid w:val="006F2DA7"/>
    <w:rsid w:val="00704358"/>
    <w:rsid w:val="00775CF5"/>
    <w:rsid w:val="007F4619"/>
    <w:rsid w:val="008869A3"/>
    <w:rsid w:val="00897268"/>
    <w:rsid w:val="008D4FBE"/>
    <w:rsid w:val="009360BD"/>
    <w:rsid w:val="009A554C"/>
    <w:rsid w:val="00A326A5"/>
    <w:rsid w:val="00A64908"/>
    <w:rsid w:val="00A91242"/>
    <w:rsid w:val="00AC77EE"/>
    <w:rsid w:val="00B214A2"/>
    <w:rsid w:val="00B46419"/>
    <w:rsid w:val="00B90589"/>
    <w:rsid w:val="00BA590F"/>
    <w:rsid w:val="00C536BA"/>
    <w:rsid w:val="00C64F4E"/>
    <w:rsid w:val="00C83270"/>
    <w:rsid w:val="00CA5044"/>
    <w:rsid w:val="00D03F64"/>
    <w:rsid w:val="00D07482"/>
    <w:rsid w:val="00D311B4"/>
    <w:rsid w:val="00D45925"/>
    <w:rsid w:val="00D51966"/>
    <w:rsid w:val="00D71FB6"/>
    <w:rsid w:val="00D86471"/>
    <w:rsid w:val="00D8740F"/>
    <w:rsid w:val="00DB4B61"/>
    <w:rsid w:val="00E179F2"/>
    <w:rsid w:val="00E72646"/>
    <w:rsid w:val="00E84D0D"/>
    <w:rsid w:val="00EF226B"/>
    <w:rsid w:val="00F23B11"/>
    <w:rsid w:val="00F66B23"/>
    <w:rsid w:val="00FA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8D37"/>
  <w15:chartTrackingRefBased/>
  <w15:docId w15:val="{638F6E11-FDAB-4A8D-9CCD-F7266B90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646"/>
    <w:rPr>
      <w:rFonts w:eastAsiaTheme="majorEastAsia" w:cstheme="majorBidi"/>
      <w:color w:val="272727" w:themeColor="text1" w:themeTint="D8"/>
    </w:rPr>
  </w:style>
  <w:style w:type="paragraph" w:styleId="Title">
    <w:name w:val="Title"/>
    <w:basedOn w:val="Normal"/>
    <w:next w:val="Normal"/>
    <w:link w:val="TitleChar"/>
    <w:uiPriority w:val="10"/>
    <w:qFormat/>
    <w:rsid w:val="00E72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646"/>
    <w:pPr>
      <w:spacing w:before="160"/>
      <w:jc w:val="center"/>
    </w:pPr>
    <w:rPr>
      <w:i/>
      <w:iCs/>
      <w:color w:val="404040" w:themeColor="text1" w:themeTint="BF"/>
    </w:rPr>
  </w:style>
  <w:style w:type="character" w:customStyle="1" w:styleId="QuoteChar">
    <w:name w:val="Quote Char"/>
    <w:basedOn w:val="DefaultParagraphFont"/>
    <w:link w:val="Quote"/>
    <w:uiPriority w:val="29"/>
    <w:rsid w:val="00E72646"/>
    <w:rPr>
      <w:i/>
      <w:iCs/>
      <w:color w:val="404040" w:themeColor="text1" w:themeTint="BF"/>
    </w:rPr>
  </w:style>
  <w:style w:type="paragraph" w:styleId="ListParagraph">
    <w:name w:val="List Paragraph"/>
    <w:basedOn w:val="Normal"/>
    <w:uiPriority w:val="34"/>
    <w:qFormat/>
    <w:rsid w:val="00E72646"/>
    <w:pPr>
      <w:ind w:left="720"/>
      <w:contextualSpacing/>
    </w:pPr>
  </w:style>
  <w:style w:type="character" w:styleId="IntenseEmphasis">
    <w:name w:val="Intense Emphasis"/>
    <w:basedOn w:val="DefaultParagraphFont"/>
    <w:uiPriority w:val="21"/>
    <w:qFormat/>
    <w:rsid w:val="00E72646"/>
    <w:rPr>
      <w:i/>
      <w:iCs/>
      <w:color w:val="0F4761" w:themeColor="accent1" w:themeShade="BF"/>
    </w:rPr>
  </w:style>
  <w:style w:type="paragraph" w:styleId="IntenseQuote">
    <w:name w:val="Intense Quote"/>
    <w:basedOn w:val="Normal"/>
    <w:next w:val="Normal"/>
    <w:link w:val="IntenseQuoteChar"/>
    <w:uiPriority w:val="30"/>
    <w:qFormat/>
    <w:rsid w:val="00E72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646"/>
    <w:rPr>
      <w:i/>
      <w:iCs/>
      <w:color w:val="0F4761" w:themeColor="accent1" w:themeShade="BF"/>
    </w:rPr>
  </w:style>
  <w:style w:type="character" w:styleId="IntenseReference">
    <w:name w:val="Intense Reference"/>
    <w:basedOn w:val="DefaultParagraphFont"/>
    <w:uiPriority w:val="32"/>
    <w:qFormat/>
    <w:rsid w:val="00E72646"/>
    <w:rPr>
      <w:b/>
      <w:bCs/>
      <w:smallCaps/>
      <w:color w:val="0F4761" w:themeColor="accent1" w:themeShade="BF"/>
      <w:spacing w:val="5"/>
    </w:rPr>
  </w:style>
  <w:style w:type="table" w:styleId="TableGrid">
    <w:name w:val="Table Grid"/>
    <w:basedOn w:val="TableNormal"/>
    <w:uiPriority w:val="39"/>
    <w:rsid w:val="00D86471"/>
    <w:pPr>
      <w:spacing w:after="0" w:line="240" w:lineRule="auto"/>
    </w:pPr>
    <w:rPr>
      <w:rFonts w:ascii="Calibri" w:eastAsia="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030037">
      <w:bodyDiv w:val="1"/>
      <w:marLeft w:val="0"/>
      <w:marRight w:val="0"/>
      <w:marTop w:val="0"/>
      <w:marBottom w:val="0"/>
      <w:divBdr>
        <w:top w:val="none" w:sz="0" w:space="0" w:color="auto"/>
        <w:left w:val="none" w:sz="0" w:space="0" w:color="auto"/>
        <w:bottom w:val="none" w:sz="0" w:space="0" w:color="auto"/>
        <w:right w:val="none" w:sz="0" w:space="0" w:color="auto"/>
      </w:divBdr>
      <w:divsChild>
        <w:div w:id="298196088">
          <w:marLeft w:val="0"/>
          <w:marRight w:val="0"/>
          <w:marTop w:val="0"/>
          <w:marBottom w:val="0"/>
          <w:divBdr>
            <w:top w:val="none" w:sz="0" w:space="0" w:color="auto"/>
            <w:left w:val="none" w:sz="0" w:space="0" w:color="auto"/>
            <w:bottom w:val="none" w:sz="0" w:space="0" w:color="auto"/>
            <w:right w:val="none" w:sz="0" w:space="0" w:color="auto"/>
          </w:divBdr>
        </w:div>
        <w:div w:id="1576620859">
          <w:marLeft w:val="0"/>
          <w:marRight w:val="0"/>
          <w:marTop w:val="0"/>
          <w:marBottom w:val="0"/>
          <w:divBdr>
            <w:top w:val="none" w:sz="0" w:space="0" w:color="auto"/>
            <w:left w:val="none" w:sz="0" w:space="0" w:color="auto"/>
            <w:bottom w:val="none" w:sz="0" w:space="0" w:color="auto"/>
            <w:right w:val="none" w:sz="0" w:space="0" w:color="auto"/>
          </w:divBdr>
        </w:div>
        <w:div w:id="1126001052">
          <w:marLeft w:val="0"/>
          <w:marRight w:val="0"/>
          <w:marTop w:val="0"/>
          <w:marBottom w:val="0"/>
          <w:divBdr>
            <w:top w:val="none" w:sz="0" w:space="0" w:color="auto"/>
            <w:left w:val="none" w:sz="0" w:space="0" w:color="auto"/>
            <w:bottom w:val="none" w:sz="0" w:space="0" w:color="auto"/>
            <w:right w:val="none" w:sz="0" w:space="0" w:color="auto"/>
          </w:divBdr>
        </w:div>
        <w:div w:id="1630284927">
          <w:marLeft w:val="0"/>
          <w:marRight w:val="0"/>
          <w:marTop w:val="0"/>
          <w:marBottom w:val="0"/>
          <w:divBdr>
            <w:top w:val="none" w:sz="0" w:space="0" w:color="auto"/>
            <w:left w:val="none" w:sz="0" w:space="0" w:color="auto"/>
            <w:bottom w:val="none" w:sz="0" w:space="0" w:color="auto"/>
            <w:right w:val="none" w:sz="0" w:space="0" w:color="auto"/>
          </w:divBdr>
        </w:div>
      </w:divsChild>
    </w:div>
    <w:div w:id="593169385">
      <w:bodyDiv w:val="1"/>
      <w:marLeft w:val="0"/>
      <w:marRight w:val="0"/>
      <w:marTop w:val="0"/>
      <w:marBottom w:val="0"/>
      <w:divBdr>
        <w:top w:val="none" w:sz="0" w:space="0" w:color="auto"/>
        <w:left w:val="none" w:sz="0" w:space="0" w:color="auto"/>
        <w:bottom w:val="none" w:sz="0" w:space="0" w:color="auto"/>
        <w:right w:val="none" w:sz="0" w:space="0" w:color="auto"/>
      </w:divBdr>
      <w:divsChild>
        <w:div w:id="1975476725">
          <w:marLeft w:val="0"/>
          <w:marRight w:val="0"/>
          <w:marTop w:val="0"/>
          <w:marBottom w:val="0"/>
          <w:divBdr>
            <w:top w:val="none" w:sz="0" w:space="0" w:color="auto"/>
            <w:left w:val="none" w:sz="0" w:space="0" w:color="auto"/>
            <w:bottom w:val="none" w:sz="0" w:space="0" w:color="auto"/>
            <w:right w:val="none" w:sz="0" w:space="0" w:color="auto"/>
          </w:divBdr>
        </w:div>
        <w:div w:id="1496996951">
          <w:marLeft w:val="0"/>
          <w:marRight w:val="0"/>
          <w:marTop w:val="0"/>
          <w:marBottom w:val="0"/>
          <w:divBdr>
            <w:top w:val="none" w:sz="0" w:space="0" w:color="auto"/>
            <w:left w:val="none" w:sz="0" w:space="0" w:color="auto"/>
            <w:bottom w:val="none" w:sz="0" w:space="0" w:color="auto"/>
            <w:right w:val="none" w:sz="0" w:space="0" w:color="auto"/>
          </w:divBdr>
        </w:div>
        <w:div w:id="1718813956">
          <w:marLeft w:val="0"/>
          <w:marRight w:val="0"/>
          <w:marTop w:val="0"/>
          <w:marBottom w:val="0"/>
          <w:divBdr>
            <w:top w:val="none" w:sz="0" w:space="0" w:color="auto"/>
            <w:left w:val="none" w:sz="0" w:space="0" w:color="auto"/>
            <w:bottom w:val="none" w:sz="0" w:space="0" w:color="auto"/>
            <w:right w:val="none" w:sz="0" w:space="0" w:color="auto"/>
          </w:divBdr>
        </w:div>
        <w:div w:id="59756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Harker</dc:creator>
  <cp:keywords/>
  <dc:description/>
  <cp:lastModifiedBy>Grace Harker</cp:lastModifiedBy>
  <cp:revision>3</cp:revision>
  <dcterms:created xsi:type="dcterms:W3CDTF">2025-01-28T12:06:00Z</dcterms:created>
  <dcterms:modified xsi:type="dcterms:W3CDTF">2025-01-28T13:01:00Z</dcterms:modified>
</cp:coreProperties>
</file>